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B56A0" w14:textId="77777777" w:rsidR="008035BF" w:rsidRDefault="008035BF" w:rsidP="008035BF">
      <w:pPr>
        <w:jc w:val="center"/>
        <w:rPr>
          <w:rFonts w:ascii="Times New Roman" w:hAnsi="Times New Roman" w:cs="Times New Roman"/>
          <w:b/>
          <w:sz w:val="24"/>
          <w:szCs w:val="24"/>
        </w:rPr>
      </w:pPr>
      <w:r>
        <w:rPr>
          <w:rFonts w:ascii="Times New Roman" w:hAnsi="Times New Roman" w:cs="Times New Roman"/>
          <w:b/>
          <w:sz w:val="24"/>
          <w:szCs w:val="24"/>
        </w:rPr>
        <w:t>EK 14-2</w:t>
      </w:r>
    </w:p>
    <w:p w14:paraId="6E272E96" w14:textId="77777777" w:rsidR="008035BF" w:rsidRDefault="008035BF" w:rsidP="008035BF">
      <w:pPr>
        <w:jc w:val="center"/>
        <w:rPr>
          <w:rFonts w:ascii="Times New Roman" w:hAnsi="Times New Roman" w:cs="Times New Roman"/>
          <w:b/>
          <w:sz w:val="24"/>
          <w:szCs w:val="24"/>
        </w:rPr>
      </w:pPr>
      <w:r>
        <w:rPr>
          <w:rFonts w:ascii="Times New Roman" w:hAnsi="Times New Roman" w:cs="Times New Roman"/>
          <w:b/>
          <w:sz w:val="24"/>
          <w:szCs w:val="24"/>
        </w:rPr>
        <w:t xml:space="preserve"> PANELİSTLER İÇİN DAVRANIŞ KURALLARI</w:t>
      </w:r>
    </w:p>
    <w:p w14:paraId="703310FF" w14:textId="77777777" w:rsidR="008035BF" w:rsidRDefault="008035BF" w:rsidP="008035BF">
      <w:pPr>
        <w:jc w:val="both"/>
        <w:rPr>
          <w:rFonts w:ascii="Times New Roman" w:hAnsi="Times New Roman" w:cs="Times New Roman"/>
          <w:b/>
          <w:sz w:val="24"/>
          <w:szCs w:val="24"/>
        </w:rPr>
      </w:pPr>
      <w:r>
        <w:rPr>
          <w:rFonts w:ascii="Times New Roman" w:hAnsi="Times New Roman" w:cs="Times New Roman"/>
          <w:b/>
          <w:sz w:val="24"/>
          <w:szCs w:val="24"/>
        </w:rPr>
        <w:t>Tanımlar</w:t>
      </w:r>
    </w:p>
    <w:p w14:paraId="7220050A" w14:textId="77777777" w:rsidR="008035BF" w:rsidRDefault="008035BF" w:rsidP="008035BF">
      <w:pPr>
        <w:jc w:val="both"/>
        <w:rPr>
          <w:rFonts w:ascii="Times New Roman" w:hAnsi="Times New Roman" w:cs="Times New Roman"/>
          <w:sz w:val="24"/>
          <w:szCs w:val="24"/>
        </w:rPr>
      </w:pPr>
      <w:r>
        <w:rPr>
          <w:rFonts w:ascii="Times New Roman" w:hAnsi="Times New Roman" w:cs="Times New Roman"/>
          <w:sz w:val="24"/>
          <w:szCs w:val="24"/>
        </w:rPr>
        <w:t>İşbu Ek’in amaçları doğrultusunda:</w:t>
      </w:r>
    </w:p>
    <w:p w14:paraId="516E3AF5" w14:textId="77777777" w:rsidR="008035BF" w:rsidRDefault="008035BF" w:rsidP="008035BF">
      <w:pPr>
        <w:jc w:val="both"/>
        <w:rPr>
          <w:rFonts w:ascii="Times New Roman" w:hAnsi="Times New Roman" w:cs="Times New Roman"/>
          <w:sz w:val="24"/>
          <w:szCs w:val="24"/>
        </w:rPr>
      </w:pPr>
      <w:r>
        <w:rPr>
          <w:rFonts w:ascii="Times New Roman" w:hAnsi="Times New Roman" w:cs="Times New Roman"/>
          <w:b/>
          <w:sz w:val="24"/>
          <w:szCs w:val="24"/>
        </w:rPr>
        <w:t>Asistan</w:t>
      </w:r>
      <w:r>
        <w:rPr>
          <w:rFonts w:ascii="Times New Roman" w:hAnsi="Times New Roman" w:cs="Times New Roman"/>
          <w:sz w:val="24"/>
          <w:szCs w:val="24"/>
        </w:rPr>
        <w:t>, bir panelist atanma koşulları altında, araştırma yürüten ya da paneliste destek sağlayan kişi anlamına gelir;</w:t>
      </w:r>
    </w:p>
    <w:p w14:paraId="0CD89941" w14:textId="77777777" w:rsidR="008035BF" w:rsidRDefault="008035BF" w:rsidP="008035BF">
      <w:pPr>
        <w:jc w:val="both"/>
        <w:rPr>
          <w:rFonts w:ascii="Times New Roman" w:hAnsi="Times New Roman" w:cs="Times New Roman"/>
          <w:sz w:val="24"/>
          <w:szCs w:val="24"/>
        </w:rPr>
      </w:pPr>
      <w:r>
        <w:rPr>
          <w:rFonts w:ascii="Times New Roman" w:hAnsi="Times New Roman" w:cs="Times New Roman"/>
          <w:b/>
          <w:sz w:val="24"/>
          <w:szCs w:val="24"/>
        </w:rPr>
        <w:t>Panelist</w:t>
      </w:r>
      <w:r>
        <w:rPr>
          <w:rFonts w:ascii="Times New Roman" w:hAnsi="Times New Roman" w:cs="Times New Roman"/>
          <w:sz w:val="24"/>
          <w:szCs w:val="24"/>
        </w:rPr>
        <w:t>, Madde 14.8 (Panelin Kurulması) uyarınca kurulan bir panelin üyesi anlamına gelir;</w:t>
      </w:r>
    </w:p>
    <w:p w14:paraId="6C7C1AB1" w14:textId="77777777" w:rsidR="008035BF" w:rsidRDefault="008035BF" w:rsidP="008035BF">
      <w:pPr>
        <w:jc w:val="both"/>
        <w:rPr>
          <w:rFonts w:ascii="Times New Roman" w:hAnsi="Times New Roman" w:cs="Times New Roman"/>
          <w:sz w:val="24"/>
          <w:szCs w:val="24"/>
        </w:rPr>
      </w:pPr>
      <w:r>
        <w:rPr>
          <w:rFonts w:ascii="Times New Roman" w:hAnsi="Times New Roman" w:cs="Times New Roman"/>
          <w:b/>
          <w:sz w:val="24"/>
          <w:szCs w:val="24"/>
        </w:rPr>
        <w:t>Süreç</w:t>
      </w:r>
      <w:r>
        <w:rPr>
          <w:rFonts w:ascii="Times New Roman" w:hAnsi="Times New Roman" w:cs="Times New Roman"/>
          <w:sz w:val="24"/>
          <w:szCs w:val="24"/>
        </w:rPr>
        <w:t>, aksi belirtilmediği sürece, bu Ek kapsamındaki bir panelin süreci anlamına gelir; ve</w:t>
      </w:r>
    </w:p>
    <w:p w14:paraId="7018EE76" w14:textId="77777777" w:rsidR="008035BF" w:rsidRDefault="008035BF" w:rsidP="008035BF">
      <w:pPr>
        <w:jc w:val="both"/>
        <w:rPr>
          <w:rFonts w:ascii="Times New Roman" w:hAnsi="Times New Roman" w:cs="Times New Roman"/>
          <w:sz w:val="24"/>
          <w:szCs w:val="24"/>
        </w:rPr>
      </w:pPr>
      <w:r>
        <w:rPr>
          <w:rFonts w:ascii="Times New Roman" w:hAnsi="Times New Roman" w:cs="Times New Roman"/>
          <w:b/>
          <w:sz w:val="24"/>
          <w:szCs w:val="24"/>
        </w:rPr>
        <w:t>Personel</w:t>
      </w:r>
      <w:r>
        <w:rPr>
          <w:rFonts w:ascii="Times New Roman" w:hAnsi="Times New Roman" w:cs="Times New Roman"/>
          <w:sz w:val="24"/>
          <w:szCs w:val="24"/>
        </w:rPr>
        <w:t>, bir panelist açısından, diğer asistanlar haricinde panelistin kontrolü ve yönlendirmesi altındaki kişiler anlamına gelir.</w:t>
      </w:r>
    </w:p>
    <w:p w14:paraId="07810FF2" w14:textId="77777777" w:rsidR="008035BF" w:rsidRDefault="008035BF" w:rsidP="008035BF">
      <w:pPr>
        <w:jc w:val="both"/>
        <w:rPr>
          <w:rFonts w:ascii="Times New Roman" w:hAnsi="Times New Roman" w:cs="Times New Roman"/>
          <w:b/>
          <w:sz w:val="24"/>
          <w:szCs w:val="24"/>
        </w:rPr>
      </w:pPr>
      <w:r>
        <w:rPr>
          <w:rFonts w:ascii="Times New Roman" w:hAnsi="Times New Roman" w:cs="Times New Roman"/>
          <w:b/>
          <w:sz w:val="24"/>
          <w:szCs w:val="24"/>
        </w:rPr>
        <w:t>Sürece İlişkin Sorumluluklar</w:t>
      </w:r>
    </w:p>
    <w:p w14:paraId="7D4D59C1" w14:textId="6D4B26EA"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Her panelist uygunsuz davranmaktan ve uygunsuzluk izlenimi vermekten kaçınacak, bağımsız ve tarafsız olacak, doğrudan ve dolaylı çıkar çatışmalarını önleyecek ve anlaşmazlıkların halli sürecinin tarafsızlığı ve bütünlüğünün korunması için yüksek davranış standartları gözetecektir. Önceki panelistler 17 ila 20. </w:t>
      </w:r>
      <w:r w:rsidR="006717E6">
        <w:rPr>
          <w:rFonts w:ascii="Times New Roman" w:hAnsi="Times New Roman" w:cs="Times New Roman"/>
          <w:sz w:val="24"/>
          <w:szCs w:val="24"/>
        </w:rPr>
        <w:t>paragraflarda</w:t>
      </w:r>
      <w:r>
        <w:rPr>
          <w:rFonts w:ascii="Times New Roman" w:hAnsi="Times New Roman" w:cs="Times New Roman"/>
          <w:sz w:val="24"/>
          <w:szCs w:val="24"/>
        </w:rPr>
        <w:t xml:space="preserve"> belirlenen yükümlülüklere uyacaktır.</w:t>
      </w:r>
    </w:p>
    <w:p w14:paraId="1B792CB6" w14:textId="77777777" w:rsidR="008035BF" w:rsidRDefault="008035BF" w:rsidP="008035BF">
      <w:pPr>
        <w:jc w:val="both"/>
        <w:rPr>
          <w:rFonts w:ascii="Times New Roman" w:hAnsi="Times New Roman" w:cs="Times New Roman"/>
          <w:b/>
          <w:sz w:val="24"/>
          <w:szCs w:val="24"/>
        </w:rPr>
      </w:pPr>
      <w:r>
        <w:rPr>
          <w:rFonts w:ascii="Times New Roman" w:hAnsi="Times New Roman" w:cs="Times New Roman"/>
          <w:b/>
          <w:sz w:val="24"/>
          <w:szCs w:val="24"/>
        </w:rPr>
        <w:t>Açıklama Yükümlülükleri</w:t>
      </w:r>
    </w:p>
    <w:p w14:paraId="12B515AA"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Bu Anlaşma kapsamında panelist olarak birinin seçilmesi onaylanmadan önce, aday bağımsızlığı veya tarafsızlığını etkilemesi olası ya da işlemde uygunsuzluk veya önyargı izlenimi oluşturabilecek herhangi bir çıkar, ilişki ya da konuları açıklayacaktır. Bu amaçla, aday bu tür çıkar, ilişki ya da konuların farkına varmak için tüm makul çabayı gösterecektir.</w:t>
      </w:r>
    </w:p>
    <w:p w14:paraId="480CE28A" w14:textId="77777777" w:rsidR="008035BF" w:rsidRDefault="008035BF" w:rsidP="008035BF">
      <w:pPr>
        <w:pStyle w:val="ListParagraph"/>
        <w:jc w:val="both"/>
        <w:rPr>
          <w:rFonts w:ascii="Times New Roman" w:hAnsi="Times New Roman" w:cs="Times New Roman"/>
          <w:sz w:val="24"/>
          <w:szCs w:val="24"/>
        </w:rPr>
      </w:pPr>
    </w:p>
    <w:p w14:paraId="315BA26C" w14:textId="47F7A70E"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Seçildikten sonra, bir panelist, 3. </w:t>
      </w:r>
      <w:r w:rsidR="006717E6">
        <w:rPr>
          <w:rFonts w:ascii="Times New Roman" w:hAnsi="Times New Roman" w:cs="Times New Roman"/>
          <w:sz w:val="24"/>
          <w:szCs w:val="24"/>
        </w:rPr>
        <w:t>paragrafta</w:t>
      </w:r>
      <w:r>
        <w:rPr>
          <w:rFonts w:ascii="Times New Roman" w:hAnsi="Times New Roman" w:cs="Times New Roman"/>
          <w:sz w:val="24"/>
          <w:szCs w:val="24"/>
        </w:rPr>
        <w:t xml:space="preserve"> atıf yapılan herhangi bir çıkar, ilişki ve konuların farkına varmak için tüm makul çabayı göstermeye devam edecek ve bunları Taraflarca değerlendirilmek üzere Ortak Komite’ye yazılı olarak ileterek açıklayacaktır. Açıklama yükümlülüğü, bir panelistin sürecin herhangi bir aşaması boyunca ortaya çıkabilecek çıkar, ilişki ve konuları açıklamasını gerektiren, devam eden bir yükümlülüktür.</w:t>
      </w:r>
    </w:p>
    <w:p w14:paraId="2372DE5B" w14:textId="77777777" w:rsidR="008035BF" w:rsidRDefault="008035BF" w:rsidP="008035BF">
      <w:pPr>
        <w:jc w:val="both"/>
        <w:rPr>
          <w:rFonts w:ascii="Times New Roman" w:hAnsi="Times New Roman" w:cs="Times New Roman"/>
          <w:b/>
          <w:sz w:val="24"/>
          <w:szCs w:val="24"/>
        </w:rPr>
      </w:pPr>
      <w:r>
        <w:rPr>
          <w:rFonts w:ascii="Times New Roman" w:hAnsi="Times New Roman" w:cs="Times New Roman"/>
          <w:b/>
          <w:sz w:val="24"/>
          <w:szCs w:val="24"/>
        </w:rPr>
        <w:t>Panelistler Tarafından Görevlerin Yerine Getirilmesi</w:t>
      </w:r>
    </w:p>
    <w:p w14:paraId="08C909BA"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işbu Faslın hükümlerine ve Ek 14-1 veya Madde 14.16 (Panel Prosedürleri) uyarınca kabul edilen prosedür kurallarına uyacaktır.</w:t>
      </w:r>
    </w:p>
    <w:p w14:paraId="2386CEAF" w14:textId="77777777" w:rsidR="008035BF" w:rsidRDefault="008035BF" w:rsidP="008035BF">
      <w:pPr>
        <w:pStyle w:val="ListParagraph"/>
        <w:jc w:val="both"/>
        <w:rPr>
          <w:rFonts w:ascii="Times New Roman" w:hAnsi="Times New Roman" w:cs="Times New Roman"/>
          <w:sz w:val="24"/>
          <w:szCs w:val="24"/>
        </w:rPr>
      </w:pPr>
    </w:p>
    <w:p w14:paraId="05B3C633"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Seçimde, bir panelist sürecin işleyişi boyunca görevlerini etraflıca ve hızlı bir şekilde, adalet ve özenle yerine getirecektir.</w:t>
      </w:r>
    </w:p>
    <w:p w14:paraId="5CC755F6" w14:textId="77777777" w:rsidR="008035BF" w:rsidRDefault="008035BF" w:rsidP="008035BF">
      <w:pPr>
        <w:pStyle w:val="ListParagraph"/>
        <w:rPr>
          <w:rFonts w:ascii="Times New Roman" w:hAnsi="Times New Roman" w:cs="Times New Roman"/>
          <w:sz w:val="24"/>
          <w:szCs w:val="24"/>
        </w:rPr>
      </w:pPr>
    </w:p>
    <w:p w14:paraId="6639AA7D"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diğer panelistlerin sürecin tüm yönlerine katılma fırsatını reddetmeyecektir.</w:t>
      </w:r>
    </w:p>
    <w:p w14:paraId="4D4E5B5F" w14:textId="77777777" w:rsidR="008035BF" w:rsidRDefault="008035BF" w:rsidP="008035BF">
      <w:pPr>
        <w:pStyle w:val="ListParagraph"/>
        <w:rPr>
          <w:rFonts w:ascii="Times New Roman" w:hAnsi="Times New Roman" w:cs="Times New Roman"/>
          <w:sz w:val="24"/>
          <w:szCs w:val="24"/>
        </w:rPr>
      </w:pPr>
    </w:p>
    <w:p w14:paraId="52141CCF"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sadece süreçte ileri sürülmüş ve bir karar verilebilmesi için gerekli olan hususları dikkate alacak ve karar verme görevini bir başka kişiye devretmeyecektir.</w:t>
      </w:r>
    </w:p>
    <w:p w14:paraId="68A20E1C" w14:textId="77777777" w:rsidR="008035BF" w:rsidRDefault="008035BF" w:rsidP="008035BF">
      <w:pPr>
        <w:pStyle w:val="ListParagraph"/>
        <w:rPr>
          <w:rFonts w:ascii="Times New Roman" w:hAnsi="Times New Roman" w:cs="Times New Roman"/>
          <w:sz w:val="24"/>
          <w:szCs w:val="24"/>
        </w:rPr>
      </w:pPr>
    </w:p>
    <w:p w14:paraId="2C042B01" w14:textId="2A105588"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w:t>
      </w:r>
      <w:r>
        <w:t xml:space="preserve"> </w:t>
      </w:r>
      <w:r>
        <w:rPr>
          <w:rFonts w:ascii="Times New Roman" w:hAnsi="Times New Roman" w:cs="Times New Roman"/>
          <w:sz w:val="24"/>
          <w:szCs w:val="24"/>
        </w:rPr>
        <w:t xml:space="preserve">asistan ve personelinin işbu Ek’in 1 ila 3 ve 3 ila 18. </w:t>
      </w:r>
      <w:r w:rsidR="006717E6">
        <w:rPr>
          <w:rFonts w:ascii="Times New Roman" w:hAnsi="Times New Roman" w:cs="Times New Roman"/>
          <w:sz w:val="24"/>
          <w:szCs w:val="24"/>
        </w:rPr>
        <w:t>paragraflarından</w:t>
      </w:r>
      <w:r>
        <w:rPr>
          <w:rFonts w:ascii="Times New Roman" w:hAnsi="Times New Roman" w:cs="Times New Roman"/>
          <w:sz w:val="24"/>
          <w:szCs w:val="24"/>
        </w:rPr>
        <w:t xml:space="preserve"> haberdar olmasını ve bunlara uymasını sağlamak için tüm uygun adımları atacaktır.</w:t>
      </w:r>
    </w:p>
    <w:p w14:paraId="36F28F3E" w14:textId="77777777" w:rsidR="008035BF" w:rsidRDefault="008035BF" w:rsidP="008035BF">
      <w:pPr>
        <w:pStyle w:val="ListParagraph"/>
        <w:rPr>
          <w:rFonts w:ascii="Times New Roman" w:hAnsi="Times New Roman" w:cs="Times New Roman"/>
          <w:sz w:val="24"/>
          <w:szCs w:val="24"/>
        </w:rPr>
      </w:pPr>
    </w:p>
    <w:p w14:paraId="126E1B1D"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sürece ilişkin tek taraflı temaslarda bulunmayacaktır.</w:t>
      </w:r>
    </w:p>
    <w:p w14:paraId="2512D5FE" w14:textId="77777777" w:rsidR="008035BF" w:rsidRDefault="008035BF" w:rsidP="008035BF">
      <w:pPr>
        <w:pStyle w:val="ListParagraph"/>
        <w:rPr>
          <w:rFonts w:ascii="Times New Roman" w:hAnsi="Times New Roman" w:cs="Times New Roman"/>
          <w:sz w:val="24"/>
          <w:szCs w:val="24"/>
        </w:rPr>
      </w:pPr>
    </w:p>
    <w:p w14:paraId="5EA83C6D"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bu Ek'in başka bir panelist tarafından fiili veya olası ihlallerine ilişkin konuları, iletişim her iki Tarafa da yapılmadıkça veya söz konusu panelistin bu Ek'i ihlal edip etmediğini veya ihlal edebileceğini tespit etmek için gerekli olmadıkça dile getirmeyecektir.</w:t>
      </w:r>
    </w:p>
    <w:p w14:paraId="7723028D" w14:textId="77777777" w:rsidR="008035BF" w:rsidRDefault="008035BF" w:rsidP="008035BF">
      <w:pPr>
        <w:jc w:val="both"/>
        <w:rPr>
          <w:rFonts w:ascii="Times New Roman" w:hAnsi="Times New Roman" w:cs="Times New Roman"/>
          <w:b/>
          <w:sz w:val="24"/>
          <w:szCs w:val="24"/>
        </w:rPr>
      </w:pPr>
      <w:r>
        <w:rPr>
          <w:rFonts w:ascii="Times New Roman" w:hAnsi="Times New Roman" w:cs="Times New Roman"/>
          <w:b/>
          <w:sz w:val="24"/>
          <w:szCs w:val="24"/>
        </w:rPr>
        <w:t>Panelistlerin Bağımsızlığı ve Tarafsızlığı</w:t>
      </w:r>
    </w:p>
    <w:p w14:paraId="1525DD14"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bağımsız ve tarafsız olacaktır. Bir panelist adil bir şekilde davranacak ve uygunsuzluk ya da önyargı izlenimi oluşumunu önleyecektir.</w:t>
      </w:r>
    </w:p>
    <w:p w14:paraId="689EF37F" w14:textId="77777777" w:rsidR="008035BF" w:rsidRDefault="008035BF" w:rsidP="008035BF">
      <w:pPr>
        <w:pStyle w:val="ListParagraph"/>
        <w:jc w:val="both"/>
        <w:rPr>
          <w:rFonts w:ascii="Times New Roman" w:hAnsi="Times New Roman" w:cs="Times New Roman"/>
          <w:sz w:val="24"/>
          <w:szCs w:val="24"/>
        </w:rPr>
      </w:pPr>
    </w:p>
    <w:p w14:paraId="34F047EC"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kişisel çıkar, dış baskı, siyasi düşünceler, kamu görüşü, bir Tarafa bağlılık ya da eleştiri korkusundan etkilenmeyecektir.</w:t>
      </w:r>
    </w:p>
    <w:p w14:paraId="0103FB16" w14:textId="77777777" w:rsidR="008035BF" w:rsidRDefault="008035BF" w:rsidP="008035BF">
      <w:pPr>
        <w:pStyle w:val="ListParagraph"/>
        <w:rPr>
          <w:rFonts w:ascii="Times New Roman" w:hAnsi="Times New Roman" w:cs="Times New Roman"/>
          <w:sz w:val="24"/>
          <w:szCs w:val="24"/>
        </w:rPr>
      </w:pPr>
    </w:p>
    <w:p w14:paraId="10C42003"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doğrudan ya da dolaylı olarak görevlerini uygun yerine getirmesine herhangi bir şekilde müdahale edecek ya da müdahale ediyor gibi görünecek herhangi bir yükümlülük altına girmeyecek ya da herhangi bir menfaati kabul etmeyecektir.</w:t>
      </w:r>
    </w:p>
    <w:p w14:paraId="4F0CBC3A" w14:textId="77777777" w:rsidR="008035BF" w:rsidRDefault="008035BF" w:rsidP="008035BF">
      <w:pPr>
        <w:pStyle w:val="ListParagraph"/>
        <w:rPr>
          <w:rFonts w:ascii="Times New Roman" w:hAnsi="Times New Roman" w:cs="Times New Roman"/>
          <w:sz w:val="24"/>
          <w:szCs w:val="24"/>
        </w:rPr>
      </w:pPr>
    </w:p>
    <w:p w14:paraId="369DD7B2" w14:textId="77777777" w:rsidR="008035BF" w:rsidRDefault="008035BF" w:rsidP="008035BF">
      <w:pPr>
        <w:pStyle w:val="ListParagraph"/>
        <w:numPr>
          <w:ilvl w:val="0"/>
          <w:numId w:val="4"/>
        </w:numPr>
        <w:spacing w:after="0" w:line="256" w:lineRule="auto"/>
        <w:jc w:val="both"/>
        <w:rPr>
          <w:rFonts w:ascii="Times New Roman" w:hAnsi="Times New Roman" w:cs="Times New Roman"/>
          <w:sz w:val="24"/>
          <w:szCs w:val="24"/>
        </w:rPr>
      </w:pPr>
      <w:r>
        <w:rPr>
          <w:rFonts w:ascii="Times New Roman" w:hAnsi="Times New Roman" w:cs="Times New Roman"/>
          <w:sz w:val="24"/>
          <w:szCs w:val="24"/>
        </w:rPr>
        <w:t>Bir panelist, paneldeki konumunu herhangi bir kişisel ya da özel menfaatlerini ilerletmek için kullanmayacaktır. Bir panelist başkalarının panelisti etkilemek için özel bir konumda olduğu izlenimi oluşturabilecek hareketlerden kaçınacaktır. Bir panelist başkalarının kendilerini o tür bir konumdaymış gibi göstermelerini önlemek ya da caydırmak için her türlü çabayı gösterecektir.</w:t>
      </w:r>
    </w:p>
    <w:p w14:paraId="6068A8EB" w14:textId="77777777" w:rsidR="008035BF" w:rsidRDefault="008035BF" w:rsidP="008035BF">
      <w:pPr>
        <w:spacing w:after="0"/>
        <w:jc w:val="both"/>
        <w:rPr>
          <w:rFonts w:ascii="Times New Roman" w:hAnsi="Times New Roman" w:cs="Times New Roman"/>
          <w:sz w:val="24"/>
          <w:szCs w:val="24"/>
        </w:rPr>
      </w:pPr>
    </w:p>
    <w:p w14:paraId="2A2536BC"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geçmiş ya da mevcut finansal, ticari, profesyonel, ailevi ya da sosyal ilişkilerin veya sorumlulukların panelisti etkilemesine izin vermeyecektir.</w:t>
      </w:r>
    </w:p>
    <w:p w14:paraId="70B18B55" w14:textId="77777777" w:rsidR="008035BF" w:rsidRDefault="008035BF" w:rsidP="008035BF">
      <w:pPr>
        <w:pStyle w:val="ListParagraph"/>
        <w:jc w:val="both"/>
        <w:rPr>
          <w:rFonts w:ascii="Times New Roman" w:hAnsi="Times New Roman" w:cs="Times New Roman"/>
          <w:sz w:val="24"/>
          <w:szCs w:val="24"/>
        </w:rPr>
      </w:pPr>
    </w:p>
    <w:p w14:paraId="663B2F31"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tarafsızlığını ya da bağımsızlığını etkileyebilecek ya da uygunsuzluk veya önyargı izlenimi oluşturabilecek herhangi bir finansal çıkar elde etmekten ya da herhangi bir ilişkiye girmekten kaçınacaktır.</w:t>
      </w:r>
    </w:p>
    <w:p w14:paraId="078E59A0" w14:textId="77777777" w:rsidR="008035BF" w:rsidRDefault="008035BF" w:rsidP="008035BF">
      <w:pPr>
        <w:jc w:val="both"/>
        <w:rPr>
          <w:rFonts w:ascii="Times New Roman" w:hAnsi="Times New Roman" w:cs="Times New Roman"/>
          <w:b/>
          <w:sz w:val="24"/>
          <w:szCs w:val="24"/>
        </w:rPr>
      </w:pPr>
      <w:r>
        <w:rPr>
          <w:rFonts w:ascii="Times New Roman" w:hAnsi="Times New Roman" w:cs="Times New Roman"/>
          <w:b/>
          <w:sz w:val="24"/>
          <w:szCs w:val="24"/>
        </w:rPr>
        <w:t>Belirli Durumlarda Görevler</w:t>
      </w:r>
    </w:p>
    <w:p w14:paraId="7B10F509"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ya da daha önce panelist olarak görev yapmış kişi, görevlerini yürütürken uygunsuz veya taraflı davrandığı ya da panel kararı veya panel raporundan yararlanacağı izlenimi oluşturabilecek hareketlerden kaçınacaktır.</w:t>
      </w:r>
    </w:p>
    <w:p w14:paraId="54955706" w14:textId="77777777" w:rsidR="008035BF" w:rsidRDefault="008035BF" w:rsidP="008035BF">
      <w:pPr>
        <w:jc w:val="both"/>
        <w:rPr>
          <w:rFonts w:ascii="Times New Roman" w:hAnsi="Times New Roman" w:cs="Times New Roman"/>
          <w:b/>
          <w:sz w:val="24"/>
          <w:szCs w:val="24"/>
        </w:rPr>
      </w:pPr>
      <w:r>
        <w:rPr>
          <w:rFonts w:ascii="Times New Roman" w:hAnsi="Times New Roman" w:cs="Times New Roman"/>
          <w:b/>
          <w:sz w:val="24"/>
          <w:szCs w:val="24"/>
        </w:rPr>
        <w:t>Gizliliğin Korunması</w:t>
      </w:r>
    </w:p>
    <w:p w14:paraId="00386BA8"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ya da daha önce panelist olarak görev yapmış kişi, sürecin amaçları dışında, sürece ilişkin ya da süreç sırasında elde edilmiş herhangi bir kamusal olmayan bilgiyi hiçbir zaman açıklamayacak ya da kullanmayacaktır ve hiçbir durumda, bu tür bilgileri kişisel menfaat ya da başkaları için menfaat kazanmak veya başkalarının çıkarlarını olumsuz etkilemek için açıklamayacak ya da kullanmayacaktır.</w:t>
      </w:r>
    </w:p>
    <w:p w14:paraId="0F86C3C8" w14:textId="77777777" w:rsidR="008035BF" w:rsidRDefault="008035BF" w:rsidP="008035BF">
      <w:pPr>
        <w:pStyle w:val="ListParagraph"/>
        <w:jc w:val="both"/>
        <w:rPr>
          <w:rFonts w:ascii="Times New Roman" w:hAnsi="Times New Roman" w:cs="Times New Roman"/>
          <w:sz w:val="24"/>
          <w:szCs w:val="24"/>
        </w:rPr>
      </w:pPr>
    </w:p>
    <w:p w14:paraId="40118887"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lastRenderedPageBreak/>
        <w:t>Bir panelist bir panel raporunu ya da bölümlerini, yayımlanmadan önce açıklamayacaktır.</w:t>
      </w:r>
    </w:p>
    <w:p w14:paraId="7BAF8613" w14:textId="77777777" w:rsidR="008035BF" w:rsidRDefault="008035BF" w:rsidP="008035BF">
      <w:pPr>
        <w:pStyle w:val="ListParagraph"/>
        <w:jc w:val="both"/>
        <w:rPr>
          <w:rFonts w:ascii="Times New Roman" w:hAnsi="Times New Roman" w:cs="Times New Roman"/>
          <w:sz w:val="24"/>
          <w:szCs w:val="24"/>
        </w:rPr>
      </w:pPr>
    </w:p>
    <w:p w14:paraId="17B793EC" w14:textId="77777777" w:rsidR="008035BF" w:rsidRDefault="008035BF" w:rsidP="008035BF">
      <w:pPr>
        <w:pStyle w:val="ListParagraph"/>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Bir panelist ya da daha önce panelist olarak görev yapmış kişi, yasal ya da anayasal gereklilikler dışında bir panelin müzakerelerini ya da herhangi bir panelistin görüşünü hiçbir zaman açıklamayacaktır.</w:t>
      </w:r>
    </w:p>
    <w:p w14:paraId="78B27283" w14:textId="77777777" w:rsidR="008035BF" w:rsidRDefault="008035BF" w:rsidP="008035BF">
      <w:pPr>
        <w:pStyle w:val="ListParagraph"/>
        <w:tabs>
          <w:tab w:val="left" w:pos="0"/>
        </w:tabs>
        <w:ind w:left="0"/>
        <w:jc w:val="both"/>
        <w:rPr>
          <w:rFonts w:ascii="Times New Roman" w:hAnsi="Times New Roman" w:cs="Times New Roman"/>
          <w:sz w:val="24"/>
          <w:szCs w:val="24"/>
        </w:rPr>
      </w:pPr>
    </w:p>
    <w:p w14:paraId="70E00B1D" w14:textId="77777777" w:rsidR="008035BF" w:rsidRDefault="008035BF" w:rsidP="008035BF"/>
    <w:p w14:paraId="53AB01D8" w14:textId="6C0E2612" w:rsidR="006E49CB" w:rsidRPr="008035BF" w:rsidRDefault="006E49CB" w:rsidP="008035BF"/>
    <w:sectPr w:rsidR="006E49CB" w:rsidRPr="008035BF" w:rsidSect="00C22CC6">
      <w:headerReference w:type="default" r:id="rId7"/>
      <w:footerReference w:type="default" r:id="rId8"/>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84615" w14:textId="77777777" w:rsidR="00547B2E" w:rsidRDefault="00547B2E">
      <w:pPr>
        <w:spacing w:after="0" w:line="240" w:lineRule="auto"/>
      </w:pPr>
      <w:r>
        <w:separator/>
      </w:r>
    </w:p>
  </w:endnote>
  <w:endnote w:type="continuationSeparator" w:id="0">
    <w:p w14:paraId="43E48E9E" w14:textId="77777777" w:rsidR="00547B2E" w:rsidRDefault="00547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809010254"/>
      <w:docPartObj>
        <w:docPartGallery w:val="Page Numbers (Bottom of Page)"/>
        <w:docPartUnique/>
      </w:docPartObj>
    </w:sdtPr>
    <w:sdtEndPr>
      <w:rPr>
        <w:noProof/>
      </w:rPr>
    </w:sdtEndPr>
    <w:sdtContent>
      <w:p w14:paraId="659A6B05" w14:textId="77777777" w:rsidR="000E2010" w:rsidRPr="00DB0DF2" w:rsidRDefault="006E49CB">
        <w:pPr>
          <w:pStyle w:val="Footer"/>
          <w:jc w:val="center"/>
          <w:rPr>
            <w:rFonts w:ascii="Times New Roman" w:hAnsi="Times New Roman" w:cs="Times New Roman"/>
            <w:sz w:val="24"/>
            <w:szCs w:val="24"/>
          </w:rPr>
        </w:pPr>
        <w:r w:rsidRPr="00DB0DF2">
          <w:rPr>
            <w:rFonts w:ascii="Times New Roman" w:hAnsi="Times New Roman" w:cs="Times New Roman"/>
            <w:sz w:val="24"/>
            <w:szCs w:val="24"/>
          </w:rPr>
          <w:fldChar w:fldCharType="begin"/>
        </w:r>
        <w:r w:rsidRPr="00DB0DF2">
          <w:rPr>
            <w:rFonts w:ascii="Times New Roman" w:hAnsi="Times New Roman" w:cs="Times New Roman"/>
            <w:sz w:val="24"/>
            <w:szCs w:val="24"/>
          </w:rPr>
          <w:instrText xml:space="preserve"> PAGE   \* MERGEFORMAT </w:instrText>
        </w:r>
        <w:r w:rsidRPr="00DB0DF2">
          <w:rPr>
            <w:rFonts w:ascii="Times New Roman" w:hAnsi="Times New Roman" w:cs="Times New Roman"/>
            <w:sz w:val="24"/>
            <w:szCs w:val="24"/>
          </w:rPr>
          <w:fldChar w:fldCharType="separate"/>
        </w:r>
        <w:r>
          <w:rPr>
            <w:rFonts w:ascii="Times New Roman" w:hAnsi="Times New Roman" w:cs="Times New Roman"/>
            <w:noProof/>
            <w:sz w:val="24"/>
            <w:szCs w:val="24"/>
          </w:rPr>
          <w:t>3</w:t>
        </w:r>
        <w:r w:rsidRPr="00DB0DF2">
          <w:rPr>
            <w:rFonts w:ascii="Times New Roman" w:hAnsi="Times New Roman" w:cs="Times New Roman"/>
            <w:noProof/>
            <w:sz w:val="24"/>
            <w:szCs w:val="24"/>
          </w:rPr>
          <w:fldChar w:fldCharType="end"/>
        </w:r>
      </w:p>
    </w:sdtContent>
  </w:sdt>
  <w:p w14:paraId="700897C0" w14:textId="77777777" w:rsidR="000E201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E091E" w14:textId="77777777" w:rsidR="00547B2E" w:rsidRDefault="00547B2E">
      <w:pPr>
        <w:spacing w:after="0" w:line="240" w:lineRule="auto"/>
      </w:pPr>
      <w:r>
        <w:separator/>
      </w:r>
    </w:p>
  </w:footnote>
  <w:footnote w:type="continuationSeparator" w:id="0">
    <w:p w14:paraId="5EF3A489" w14:textId="77777777" w:rsidR="00547B2E" w:rsidRDefault="00547B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59F7" w14:textId="77777777" w:rsidR="000E2010" w:rsidRPr="0053195F" w:rsidRDefault="006E49CB" w:rsidP="0053195F">
    <w:pPr>
      <w:tabs>
        <w:tab w:val="center" w:pos="4680"/>
        <w:tab w:val="right" w:pos="9360"/>
      </w:tabs>
      <w:spacing w:after="0" w:line="240" w:lineRule="auto"/>
      <w:rPr>
        <w:rFonts w:ascii="Times New Roman" w:eastAsia="Times New Roman" w:hAnsi="Times New Roman" w:cs="Times New Roman"/>
        <w:kern w:val="24"/>
        <w:sz w:val="24"/>
        <w:szCs w:val="24"/>
      </w:rPr>
    </w:pPr>
    <w:r w:rsidRPr="0053195F">
      <w:rPr>
        <w:rFonts w:ascii="Times New Roman" w:eastAsia="Times New Roman" w:hAnsi="Times New Roman" w:cs="Times New Roman"/>
        <w:kern w:val="24"/>
        <w:sz w:val="24"/>
        <w:szCs w:val="24"/>
      </w:rPr>
      <w:tab/>
    </w:r>
    <w:r w:rsidRPr="0053195F">
      <w:rPr>
        <w:rFonts w:ascii="Times New Roman" w:eastAsia="Times New Roman" w:hAnsi="Times New Roman" w:cs="Times New Roman"/>
        <w:kern w:val="24"/>
        <w:sz w:val="24"/>
        <w:szCs w:val="24"/>
      </w:rPr>
      <w:tab/>
    </w:r>
  </w:p>
  <w:p w14:paraId="7DBB14BF" w14:textId="77777777" w:rsidR="000E2010" w:rsidRPr="0053195F" w:rsidRDefault="00000000" w:rsidP="00531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187F1D"/>
    <w:multiLevelType w:val="multilevel"/>
    <w:tmpl w:val="F49CC9DC"/>
    <w:lvl w:ilvl="0">
      <w:start w:val="1"/>
      <w:numFmt w:val="decimal"/>
      <w:lvlText w:val="%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535E72"/>
    <w:multiLevelType w:val="multilevel"/>
    <w:tmpl w:val="DEFCF3C6"/>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60A20206"/>
    <w:multiLevelType w:val="multilevel"/>
    <w:tmpl w:val="F85A2DC0"/>
    <w:lvl w:ilvl="0">
      <w:start w:val="1"/>
      <w:numFmt w:val="decimal"/>
      <w:lvlText w:val="%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293355">
    <w:abstractNumId w:val="0"/>
  </w:num>
  <w:num w:numId="2" w16cid:durableId="595945826">
    <w:abstractNumId w:val="2"/>
  </w:num>
  <w:num w:numId="3" w16cid:durableId="1091195413">
    <w:abstractNumId w:val="1"/>
  </w:num>
  <w:num w:numId="4" w16cid:durableId="9387570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EE9"/>
    <w:rsid w:val="000068F3"/>
    <w:rsid w:val="001363D2"/>
    <w:rsid w:val="00355479"/>
    <w:rsid w:val="004B6F84"/>
    <w:rsid w:val="00502002"/>
    <w:rsid w:val="00547B2E"/>
    <w:rsid w:val="006717E6"/>
    <w:rsid w:val="006E49CB"/>
    <w:rsid w:val="007C3AFD"/>
    <w:rsid w:val="008035BF"/>
    <w:rsid w:val="009E0725"/>
    <w:rsid w:val="00FD0E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DBCB0"/>
  <w15:chartTrackingRefBased/>
  <w15:docId w15:val="{C2DAF7AD-2D83-4674-8A1B-0F59622A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5BF"/>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Para,NFP GP Bulleted List,FooterText,numbered,Paragraphe de liste1,Bulletr List Paragraph,列出段落1,List Paragraph2,List Paragraph21,Listeafsnit1,Parágrafo da Lista1,リスト段落1,L,Text,列出段落"/>
    <w:basedOn w:val="Normal"/>
    <w:link w:val="ListParagraphChar"/>
    <w:uiPriority w:val="34"/>
    <w:qFormat/>
    <w:rsid w:val="006E49CB"/>
    <w:pPr>
      <w:spacing w:line="259" w:lineRule="auto"/>
      <w:ind w:left="720"/>
      <w:contextualSpacing/>
    </w:pPr>
  </w:style>
  <w:style w:type="paragraph" w:styleId="Header">
    <w:name w:val="header"/>
    <w:basedOn w:val="Normal"/>
    <w:link w:val="HeaderChar"/>
    <w:uiPriority w:val="99"/>
    <w:unhideWhenUsed/>
    <w:rsid w:val="006E49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49CB"/>
  </w:style>
  <w:style w:type="paragraph" w:styleId="Footer">
    <w:name w:val="footer"/>
    <w:basedOn w:val="Normal"/>
    <w:link w:val="FooterChar"/>
    <w:uiPriority w:val="99"/>
    <w:unhideWhenUsed/>
    <w:rsid w:val="006E49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49CB"/>
  </w:style>
  <w:style w:type="character" w:customStyle="1" w:styleId="ListParagraphChar">
    <w:name w:val="List Paragraph Char"/>
    <w:aliases w:val="List Paragraph1 Char,Recommendation Char,List Paragraph11 Char,Bulleted Para Char,NFP GP Bulleted List Char,FooterText Char,numbered Char,Paragraphe de liste1 Char,Bulletr List Paragraph Char,列出段落1 Char,List Paragraph2 Char,L Char"/>
    <w:link w:val="ListParagraph"/>
    <w:uiPriority w:val="34"/>
    <w:qFormat/>
    <w:locked/>
    <w:rsid w:val="006E4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09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769</Words>
  <Characters>4388</Characters>
  <Application>Microsoft Office Word</Application>
  <DocSecurity>0</DocSecurity>
  <Lines>36</Lines>
  <Paragraphs>10</Paragraphs>
  <ScaleCrop>false</ScaleCrop>
  <Company>T.C. Gümrük ve Ticaret Bakanlığı</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Aykut ARAZ</dc:creator>
  <cp:keywords/>
  <dc:description/>
  <cp:lastModifiedBy>ibrahim aykut araz</cp:lastModifiedBy>
  <cp:revision>7</cp:revision>
  <dcterms:created xsi:type="dcterms:W3CDTF">2023-03-05T09:09:00Z</dcterms:created>
  <dcterms:modified xsi:type="dcterms:W3CDTF">2023-03-05T19:44:00Z</dcterms:modified>
</cp:coreProperties>
</file>